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09" w:rsidRPr="00FF0E09" w:rsidRDefault="00FF0E09" w:rsidP="00FF0E09">
      <w:pPr>
        <w:shd w:val="clear" w:color="auto" w:fill="FFFFFF"/>
        <w:spacing w:after="0" w:line="323" w:lineRule="atLeast"/>
        <w:jc w:val="center"/>
        <w:rPr>
          <w:rFonts w:ascii="Verdana" w:eastAsia="Times New Roman" w:hAnsi="Verdana" w:cs="Times New Roman"/>
          <w:i/>
          <w:color w:val="4472C4" w:themeColor="accent1"/>
          <w:sz w:val="20"/>
          <w:szCs w:val="20"/>
          <w:lang w:eastAsia="it-IT"/>
        </w:rPr>
      </w:pPr>
      <w:r w:rsidRPr="00FF0E09">
        <w:rPr>
          <w:rFonts w:ascii="Verdana" w:eastAsia="Times New Roman" w:hAnsi="Verdana" w:cs="Times New Roman"/>
          <w:i/>
          <w:color w:val="4472C4" w:themeColor="accent1"/>
          <w:sz w:val="20"/>
          <w:szCs w:val="20"/>
          <w:lang w:eastAsia="it-IT"/>
        </w:rPr>
        <w:t>I PRISMI: LO SVILUPPO DELLA LORO SUPERFICIE E CALCOLO DEL LORO VOLUME</w:t>
      </w:r>
    </w:p>
    <w:p w:rsidR="00FF0E09" w:rsidRPr="00FF0E09" w:rsidRDefault="00FF0E09" w:rsidP="00FF0E09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I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 xml:space="preserve"> prismi sono quei poliedri che hanno almeno due facce parallele e congruenti.</w:t>
      </w:r>
    </w:p>
    <w:p w:rsidR="00FF0E09" w:rsidRPr="00FF0E09" w:rsidRDefault="00FF0E09" w:rsidP="00FF0E09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Le facce parallele e congruenti sono le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it-IT"/>
        </w:rPr>
        <w:t>basi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del prisma, le altre facce sono parallelogrammi e si dicono </w:t>
      </w:r>
      <w:r w:rsidRPr="00FF0E09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it-IT"/>
        </w:rPr>
        <w:t>facce laterali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;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 la distanza fra le due basi è l’</w:t>
      </w:r>
      <w:r w:rsidRPr="00FF0E09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it-IT"/>
        </w:rPr>
        <w:t>altezza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del prisma.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inherit" w:eastAsia="Times New Roman" w:hAnsi="inherit" w:cs="Times New Roman"/>
          <w:noProof/>
          <w:color w:val="3354CC"/>
          <w:sz w:val="20"/>
          <w:szCs w:val="20"/>
          <w:lang w:eastAsia="it-IT"/>
        </w:rPr>
        <w:drawing>
          <wp:inline distT="0" distB="0" distL="0" distR="0">
            <wp:extent cx="3050540" cy="2327275"/>
            <wp:effectExtent l="19050" t="0" r="0" b="0"/>
            <wp:docPr id="1" name="Immagine 1" descr="https://3.bp.blogspot.com/-4VijBenMiqI/ViZ4ToRiwCI/AAAAAAAAJcE/XdIQBT-mLt8/s1600/Immagine3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4VijBenMiqI/ViZ4ToRiwCI/AAAAAAAAJcE/XdIQBT-mLt8/s1600/Immagine3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Un </w:t>
      </w:r>
      <w:r w:rsidRPr="00FF0E09">
        <w:rPr>
          <w:rFonts w:ascii="inherit" w:eastAsia="Times New Roman" w:hAnsi="inherit" w:cs="Times New Roman"/>
          <w:i/>
          <w:iCs/>
          <w:sz w:val="20"/>
          <w:szCs w:val="20"/>
          <w:lang w:eastAsia="it-IT"/>
        </w:rPr>
        <w:t>prisma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può essere </w:t>
      </w:r>
      <w:r w:rsidRPr="00FF0E09">
        <w:rPr>
          <w:rFonts w:ascii="inherit" w:eastAsia="Times New Roman" w:hAnsi="inherit" w:cs="Times New Roman"/>
          <w:i/>
          <w:iCs/>
          <w:sz w:val="20"/>
          <w:szCs w:val="20"/>
          <w:lang w:eastAsia="it-IT"/>
        </w:rPr>
        <w:t>triangolare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se il poligono di base è un triangolo, </w:t>
      </w:r>
      <w:r w:rsidRPr="00FF0E09">
        <w:rPr>
          <w:rFonts w:ascii="inherit" w:eastAsia="Times New Roman" w:hAnsi="inherit" w:cs="Times New Roman"/>
          <w:i/>
          <w:iCs/>
          <w:sz w:val="20"/>
          <w:szCs w:val="20"/>
          <w:lang w:eastAsia="it-IT"/>
        </w:rPr>
        <w:t>quadrangolare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se il poligono di base è un quadrilatero, </w:t>
      </w:r>
      <w:r w:rsidRPr="00FF0E09">
        <w:rPr>
          <w:rFonts w:ascii="inherit" w:eastAsia="Times New Roman" w:hAnsi="inherit" w:cs="Times New Roman"/>
          <w:i/>
          <w:iCs/>
          <w:sz w:val="20"/>
          <w:szCs w:val="20"/>
          <w:lang w:eastAsia="it-IT"/>
        </w:rPr>
        <w:t>pentagonale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se il poligono di base è un pentagono e così via.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inherit" w:eastAsia="Times New Roman" w:hAnsi="inherit" w:cs="Times New Roman"/>
          <w:noProof/>
          <w:color w:val="3354CC"/>
          <w:sz w:val="20"/>
          <w:szCs w:val="20"/>
          <w:lang w:eastAsia="it-IT"/>
        </w:rPr>
        <w:drawing>
          <wp:inline distT="0" distB="0" distL="0" distR="0">
            <wp:extent cx="3050540" cy="1529715"/>
            <wp:effectExtent l="19050" t="0" r="0" b="0"/>
            <wp:docPr id="2" name="Immagine 2" descr="https://3.bp.blogspot.com/-GhkH3_wm0BA/ViZ4gogMCMI/AAAAAAAAJcM/LI3jGa541eE/s1600/Immagine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GhkH3_wm0BA/ViZ4gogMCMI/AAAAAAAAJcM/LI3jGa541eE/s1600/Immagin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I prismi come quello a sinistra, in cui tutte le facce laterali sono perpendicolari alla base, vengono chiamati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it-IT"/>
        </w:rPr>
        <w:t>prismi retti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e le loro facce laterali sono rettangoli mentre l’altezza coincide con gli spigoli laterali, i prismi come quello a destra vengono chiamati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it-IT"/>
        </w:rPr>
        <w:t>prismi obliqui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e le loro facce sono dei parallelogrammi.</w:t>
      </w:r>
      <w:r w:rsidRPr="00FF0E09">
        <w:rPr>
          <w:rFonts w:ascii="inherit" w:eastAsia="Times New Roman" w:hAnsi="inherit" w:cs="Times New Roman"/>
          <w:color w:val="222222"/>
          <w:sz w:val="20"/>
          <w:lang w:eastAsia="it-IT"/>
        </w:rPr>
        <w:t> 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 </w:t>
      </w:r>
    </w:p>
    <w:p w:rsidR="00FF0E09" w:rsidRPr="00FF0E09" w:rsidRDefault="00FF0E09" w:rsidP="00FF0E09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Un prisma può essere </w:t>
      </w:r>
      <w:r w:rsidRPr="00FF0E09">
        <w:rPr>
          <w:rFonts w:ascii="inherit" w:eastAsia="Times New Roman" w:hAnsi="inherit" w:cs="Times New Roman"/>
          <w:b/>
          <w:bCs/>
          <w:color w:val="222222"/>
          <w:sz w:val="20"/>
          <w:szCs w:val="20"/>
          <w:lang w:eastAsia="it-IT"/>
        </w:rPr>
        <w:t>regolare</w:t>
      </w:r>
      <w:r w:rsidRPr="00FF0E09">
        <w:rPr>
          <w:rFonts w:ascii="inherit" w:eastAsia="Times New Roman" w:hAnsi="inherit" w:cs="Times New Roman"/>
          <w:color w:val="222222"/>
          <w:sz w:val="20"/>
          <w:szCs w:val="20"/>
          <w:lang w:eastAsia="it-IT"/>
        </w:rPr>
        <w:t> se è retto e i poligoni di base sono poligoni regolari: in questo caso le facce laterali sono rettangoli congruenti.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inherit" w:eastAsia="Times New Roman" w:hAnsi="inherit" w:cs="Times New Roman"/>
          <w:noProof/>
          <w:color w:val="3354CC"/>
          <w:sz w:val="20"/>
          <w:szCs w:val="20"/>
          <w:lang w:eastAsia="it-IT"/>
        </w:rPr>
        <w:drawing>
          <wp:inline distT="0" distB="0" distL="0" distR="0">
            <wp:extent cx="1288415" cy="1903730"/>
            <wp:effectExtent l="19050" t="0" r="6985" b="0"/>
            <wp:docPr id="3" name="Immagine 3" descr="https://3.bp.blogspot.com/-piZuvQ3WyNs/ViZ4ytWS0JI/AAAAAAAAJcU/P26g3so0gnw/s200/Immagine5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piZuvQ3WyNs/ViZ4ytWS0JI/AAAAAAAAJcU/P26g3so0gnw/s200/Immagine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09" w:rsidRPr="00FF0E09" w:rsidRDefault="00FF0E09" w:rsidP="00FF0E09">
      <w:pPr>
        <w:shd w:val="clear" w:color="auto" w:fill="FFFFFF"/>
        <w:spacing w:after="0" w:line="323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Superficie laterale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lastRenderedPageBreak/>
        <w:t>Consideriamo un prisma triangolare retto ed il suo sviluppo.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inherit" w:eastAsia="Times New Roman" w:hAnsi="inherit" w:cs="Times New Roman"/>
          <w:noProof/>
          <w:color w:val="3354CC"/>
          <w:sz w:val="20"/>
          <w:szCs w:val="20"/>
          <w:lang w:eastAsia="it-IT"/>
        </w:rPr>
        <w:drawing>
          <wp:inline distT="0" distB="0" distL="0" distR="0">
            <wp:extent cx="3807460" cy="2103120"/>
            <wp:effectExtent l="19050" t="0" r="2540" b="0"/>
            <wp:docPr id="4" name="Immagine 4" descr="https://4.bp.blogspot.com/-hVxVIRAfpbc/ViZ5CtpUv3I/AAAAAAAAJcc/DYveB5MFjow/s400/Immagine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hVxVIRAfpbc/ViZ5CtpUv3I/AAAAAAAAJcc/DYveB5MFjow/s400/Immagine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Notiamo che la superficie laterale del prisma coincide con la superficie di un rettangolo, la cui base è congruente al perimetro di base del prisma e la cui altezza è congruente all’altezza del prisma.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Possiamo dunque affermare che </w:t>
      </w:r>
      <w:r w:rsidRPr="00FF0E09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la superficie laterale di un prisma retto si calcola moltiplicando il perimetro di base per la misura dell’altezza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l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 = p 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perscript"/>
          <w:lang w:eastAsia="it-IT"/>
        </w:rPr>
        <w:t>.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 h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Dalla formula diretta possiamo ricavare le formule inverse: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 xml:space="preserve">p = 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l</w:t>
      </w:r>
      <w:proofErr w:type="spellEnd"/>
      <w:r w:rsidRPr="00FF0E09">
        <w:rPr>
          <w:rFonts w:ascii="inherit" w:eastAsia="Times New Roman" w:hAnsi="inherit" w:cs="Times New Roman"/>
          <w:b/>
          <w:bCs/>
          <w:color w:val="FF0000"/>
          <w:sz w:val="36"/>
          <w:szCs w:val="36"/>
          <w:lang w:eastAsia="it-IT"/>
        </w:rPr>
        <w:t>/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 xml:space="preserve">h        h = 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l</w:t>
      </w:r>
      <w:proofErr w:type="spellEnd"/>
      <w:r w:rsidRPr="00FF0E09">
        <w:rPr>
          <w:rFonts w:ascii="inherit" w:eastAsia="Times New Roman" w:hAnsi="inherit" w:cs="Times New Roman"/>
          <w:b/>
          <w:bCs/>
          <w:color w:val="FF0000"/>
          <w:sz w:val="36"/>
          <w:szCs w:val="36"/>
          <w:lang w:eastAsia="it-IT"/>
        </w:rPr>
        <w:t>/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p       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Superficie totale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E’ abbastanza evidente che l’area della superficie totale sarà data dalla somma dell’area della superficie laterale e dell’area delle due basi.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t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 xml:space="preserve"> = 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l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 + 2A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b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Dalla formula diretta possiamo ricavare le formule inverse: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l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 = 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t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 - 2A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b                    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A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b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 = (S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t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 xml:space="preserve"> – 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S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l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)/2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Volume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Misurare il volume di un solido significa calcolare quante volte l’unità di misura del volume scelta è contenuta nel solido.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Guardiamo questo prisma retto a base quadrata: 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inherit" w:eastAsia="Times New Roman" w:hAnsi="inherit" w:cs="Times New Roman"/>
          <w:noProof/>
          <w:color w:val="3354CC"/>
          <w:sz w:val="20"/>
          <w:szCs w:val="20"/>
          <w:lang w:eastAsia="it-IT"/>
        </w:rPr>
        <w:drawing>
          <wp:inline distT="0" distB="0" distL="0" distR="0">
            <wp:extent cx="1696085" cy="1903730"/>
            <wp:effectExtent l="19050" t="0" r="0" b="0"/>
            <wp:docPr id="5" name="Immagine 5" descr="https://1.bp.blogspot.com/-sofS59jDDd8/ViZ5Co711oI/AAAAAAAAJco/I1fGa_CGSro/s200/Immagine2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sofS59jDDd8/ViZ5Co711oI/AAAAAAAAJco/I1fGa_CGSro/s200/Immagine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20"/>
          <w:szCs w:val="20"/>
          <w:lang w:eastAsia="it-IT"/>
        </w:rPr>
        <w:t> 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l’area di base è di 9 cm</w:t>
      </w:r>
      <w:r w:rsidRPr="00FF0E09">
        <w:rPr>
          <w:rFonts w:ascii="inherit" w:eastAsia="Times New Roman" w:hAnsi="inherit" w:cs="Times New Roman"/>
          <w:sz w:val="20"/>
          <w:szCs w:val="20"/>
          <w:vertAlign w:val="superscript"/>
          <w:lang w:eastAsia="it-IT"/>
        </w:rPr>
        <w:t>2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quindi per ricoprire la base occorreranno 9 cm</w:t>
      </w:r>
      <w:r w:rsidRPr="00FF0E09">
        <w:rPr>
          <w:rFonts w:ascii="inherit" w:eastAsia="Times New Roman" w:hAnsi="inherit" w:cs="Times New Roman"/>
          <w:sz w:val="20"/>
          <w:szCs w:val="20"/>
          <w:vertAlign w:val="superscript"/>
          <w:lang w:eastAsia="it-IT"/>
        </w:rPr>
        <w:t>2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Quanti strati di cm</w:t>
      </w:r>
      <w:r w:rsidRPr="00FF0E09">
        <w:rPr>
          <w:rFonts w:ascii="inherit" w:eastAsia="Times New Roman" w:hAnsi="inherit" w:cs="Times New Roman"/>
          <w:sz w:val="20"/>
          <w:szCs w:val="20"/>
          <w:vertAlign w:val="superscript"/>
          <w:lang w:eastAsia="it-IT"/>
        </w:rPr>
        <w:t>2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saranno necessari per occupare tutto lo spazio del nostro prisma? 7 strati perché l’altezza è di 7 cm.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Il volume del nostro solido misurerà quindi 63 cm</w:t>
      </w:r>
      <w:r w:rsidRPr="00FF0E09">
        <w:rPr>
          <w:rFonts w:ascii="inherit" w:eastAsia="Times New Roman" w:hAnsi="inherit" w:cs="Times New Roman"/>
          <w:sz w:val="20"/>
          <w:szCs w:val="20"/>
          <w:vertAlign w:val="superscript"/>
          <w:lang w:eastAsia="it-IT"/>
        </w:rPr>
        <w:t>3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 (3 x 3 x 7).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lastRenderedPageBreak/>
        <w:t>Abbiamo prima calcolato l’area della base e poi abbiamo moltiplicato per l’altezza.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sz w:val="20"/>
          <w:szCs w:val="20"/>
          <w:lang w:eastAsia="it-IT"/>
        </w:rPr>
        <w:t>Il volume di un prisma retto si calcola moltiplicando l’area di base per la misura dell’altezza.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 xml:space="preserve">V = 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A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b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perscript"/>
          <w:lang w:eastAsia="it-IT"/>
        </w:rPr>
        <w:t> .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 h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Dalla formula diretta possiamo ricavare le formule inverse:</w:t>
      </w: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A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b</w:t>
      </w:r>
      <w:proofErr w:type="spellEnd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 = V/h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val="en-GB" w:eastAsia="it-IT"/>
        </w:rPr>
        <w:t>                  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val="en-GB" w:eastAsia="it-IT"/>
        </w:rPr>
        <w:t>h = V/ </w:t>
      </w:r>
      <w:proofErr w:type="spellStart"/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lang w:eastAsia="it-IT"/>
        </w:rPr>
        <w:t>A</w:t>
      </w:r>
      <w:r w:rsidRPr="00FF0E09">
        <w:rPr>
          <w:rFonts w:ascii="inherit" w:eastAsia="Times New Roman" w:hAnsi="inherit" w:cs="Times New Roman"/>
          <w:b/>
          <w:bCs/>
          <w:i/>
          <w:iCs/>
          <w:color w:val="FF0000"/>
          <w:sz w:val="36"/>
          <w:szCs w:val="36"/>
          <w:vertAlign w:val="subscript"/>
          <w:lang w:eastAsia="it-IT"/>
        </w:rPr>
        <w:t>b</w:t>
      </w:r>
      <w:proofErr w:type="spellEnd"/>
    </w:p>
    <w:p w:rsidR="00FF0E09" w:rsidRPr="00FF0E09" w:rsidRDefault="00FF0E09" w:rsidP="00FF0E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b/>
          <w:bCs/>
          <w:sz w:val="20"/>
          <w:szCs w:val="20"/>
          <w:lang w:val="en-GB" w:eastAsia="it-IT"/>
        </w:rPr>
        <w:t>ESERCIZI</w:t>
      </w:r>
    </w:p>
    <w:p w:rsidR="00FF0E09" w:rsidRPr="00FF0E09" w:rsidRDefault="00FF0E09" w:rsidP="00FF0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F0E09" w:rsidRPr="00FF0E09" w:rsidRDefault="00FF0E09" w:rsidP="00FF0E09">
      <w:pPr>
        <w:spacing w:after="0" w:line="240" w:lineRule="auto"/>
        <w:ind w:hanging="33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·        Un prisma retto ha per base un quadrato la cui area è 225 cm</w:t>
      </w:r>
      <w:r w:rsidRPr="00FF0E09">
        <w:rPr>
          <w:rFonts w:ascii="inherit" w:eastAsia="Times New Roman" w:hAnsi="inherit" w:cs="Times New Roman"/>
          <w:sz w:val="20"/>
          <w:szCs w:val="20"/>
          <w:vertAlign w:val="superscript"/>
          <w:lang w:eastAsia="it-IT"/>
        </w:rPr>
        <w:t>2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. L’altezza del prisma è di 26 cm. Calcola l’area della sua superficie totale.</w:t>
      </w:r>
    </w:p>
    <w:p w:rsidR="00FF0E09" w:rsidRPr="00FF0E09" w:rsidRDefault="00FF0E09" w:rsidP="00FF0E09">
      <w:pPr>
        <w:spacing w:after="0" w:line="240" w:lineRule="auto"/>
        <w:ind w:hanging="33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·        Un prisma retto ha per base un triangolo rettangolo con il cateto minore di 100 cm ed il cateto maggiore che è i 21/20 del cateto minore. Sapendo che il prisma è alto 130 cm, calcola l’area della superficie totale ed il volume.</w:t>
      </w:r>
    </w:p>
    <w:p w:rsidR="00FF0E09" w:rsidRPr="00FF0E09" w:rsidRDefault="00FF0E09" w:rsidP="00FF0E09">
      <w:pPr>
        <w:spacing w:after="0" w:line="240" w:lineRule="auto"/>
        <w:ind w:hanging="33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·        Un prisma retto, di volume 5400 cm</w:t>
      </w:r>
      <w:r w:rsidRPr="00FF0E09">
        <w:rPr>
          <w:rFonts w:ascii="inherit" w:eastAsia="Times New Roman" w:hAnsi="inherit" w:cs="Times New Roman"/>
          <w:sz w:val="20"/>
          <w:szCs w:val="20"/>
          <w:vertAlign w:val="superscript"/>
          <w:lang w:eastAsia="it-IT"/>
        </w:rPr>
        <w:t>3</w:t>
      </w:r>
      <w:r w:rsidRPr="00FF0E09">
        <w:rPr>
          <w:rFonts w:ascii="inherit" w:eastAsia="Times New Roman" w:hAnsi="inherit" w:cs="Times New Roman"/>
          <w:sz w:val="20"/>
          <w:szCs w:val="20"/>
          <w:lang w:eastAsia="it-IT"/>
        </w:rPr>
        <w:t>, ha per base un rombo avente la diagonale minore e il lato lunghi rispettivamente 18 cm e 15 cm. Calcola l’area della superficie totale.</w:t>
      </w:r>
    </w:p>
    <w:p w:rsidR="00FF0E09" w:rsidRPr="00FF0E09" w:rsidRDefault="00FF0E09" w:rsidP="00FF0E09">
      <w:pPr>
        <w:spacing w:after="0" w:line="240" w:lineRule="auto"/>
        <w:ind w:hanging="33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FF0E09" w:rsidRPr="00FF0E09" w:rsidSect="00DB03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FF0E09"/>
    <w:rsid w:val="00431937"/>
    <w:rsid w:val="008F68B4"/>
    <w:rsid w:val="00C22756"/>
    <w:rsid w:val="00D87031"/>
    <w:rsid w:val="00DB0300"/>
    <w:rsid w:val="00FF0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3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F0E09"/>
  </w:style>
  <w:style w:type="character" w:styleId="Collegamentoipertestuale">
    <w:name w:val="Hyperlink"/>
    <w:basedOn w:val="Carpredefinitoparagrafo"/>
    <w:uiPriority w:val="99"/>
    <w:semiHidden/>
    <w:unhideWhenUsed/>
    <w:rsid w:val="00FF0E0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44">
              <w:marLeft w:val="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7703">
              <w:marLeft w:val="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7244">
              <w:marLeft w:val="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671">
              <w:marLeft w:val="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0878">
              <w:marLeft w:val="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212">
              <w:marLeft w:val="3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piZuvQ3WyNs/ViZ4ytWS0JI/AAAAAAAAJcU/P26g3so0gnw/s1600/Immagine5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1.bp.blogspot.com/-sofS59jDDd8/ViZ5Co711oI/AAAAAAAAJco/I1fGa_CGSro/s1600/Immagine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GhkH3_wm0BA/ViZ4gogMCMI/AAAAAAAAJcM/LI3jGa541eE/s1600/Immagine4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4.bp.blogspot.com/-hVxVIRAfpbc/ViZ5CtpUv3I/AAAAAAAAJcc/DYveB5MFjow/s1600/Immagine1.png" TargetMode="External"/><Relationship Id="rId4" Type="http://schemas.openxmlformats.org/officeDocument/2006/relationships/hyperlink" Target="https://3.bp.blogspot.com/-4VijBenMiqI/ViZ4ToRiwCI/AAAAAAAAJcE/XdIQBT-mLt8/s1600/Immagine3.png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2673</Characters>
  <Application>Microsoft Office Word</Application>
  <DocSecurity>0</DocSecurity>
  <Lines>22</Lines>
  <Paragraphs>6</Paragraphs>
  <ScaleCrop>false</ScaleCrop>
  <Company>HP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gianpaolo</dc:creator>
  <cp:lastModifiedBy>gianpaolo</cp:lastModifiedBy>
  <cp:revision>1</cp:revision>
  <dcterms:created xsi:type="dcterms:W3CDTF">2020-03-05T15:40:00Z</dcterms:created>
  <dcterms:modified xsi:type="dcterms:W3CDTF">2020-03-05T15:42:00Z</dcterms:modified>
</cp:coreProperties>
</file>